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590" w:rsidRPr="00990590" w:rsidRDefault="00990590" w:rsidP="00990590">
      <w:pPr>
        <w:pStyle w:val="NormalWeb"/>
        <w:shd w:val="clear" w:color="auto" w:fill="FFFFFF"/>
        <w:spacing w:before="0" w:beforeAutospacing="0" w:after="0" w:afterAutospacing="0"/>
        <w:ind w:left="1080" w:hanging="360"/>
        <w:jc w:val="center"/>
        <w:rPr>
          <w:b/>
          <w:bCs/>
          <w:iCs/>
          <w:color w:val="000000"/>
          <w:sz w:val="26"/>
          <w:szCs w:val="26"/>
        </w:rPr>
      </w:pPr>
      <w:r w:rsidRPr="00990590">
        <w:rPr>
          <w:b/>
          <w:bCs/>
          <w:iCs/>
          <w:color w:val="000000"/>
          <w:sz w:val="26"/>
          <w:szCs w:val="26"/>
        </w:rPr>
        <w:t>LƯU KÝ GIẤY TỜ CÓ GIÁ</w:t>
      </w:r>
    </w:p>
    <w:p w:rsidR="00990590" w:rsidRPr="00990590" w:rsidRDefault="00990590" w:rsidP="00990590">
      <w:pPr>
        <w:pStyle w:val="Heading1"/>
      </w:pPr>
      <w:r w:rsidRPr="00990590">
        <w:t>1.</w:t>
      </w:r>
      <w:r w:rsidRPr="00990590">
        <w:rPr>
          <w:szCs w:val="14"/>
        </w:rPr>
        <w:t>    </w:t>
      </w:r>
      <w:r w:rsidRPr="00990590">
        <w:rPr>
          <w:rStyle w:val="apple-converted-space"/>
          <w:szCs w:val="14"/>
        </w:rPr>
        <w:t> </w:t>
      </w:r>
      <w:r w:rsidRPr="00990590">
        <w:t>Khái niệm:</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Lưu ký GTCG tại NHNN là việc NHNN thực hiện quản lý, lưu giữ, bảo quản GTCG và thực hiện các quyền về sở hữu GTCG của khách hàng lưu ký (KHLK) theo đề nghị của khách hàng.</w:t>
      </w:r>
    </w:p>
    <w:p w:rsidR="00990590" w:rsidRPr="00990590" w:rsidRDefault="00990590" w:rsidP="00990590">
      <w:pPr>
        <w:pStyle w:val="Heading1"/>
      </w:pPr>
      <w:r w:rsidRPr="00990590">
        <w:t>2.    </w:t>
      </w:r>
      <w:r w:rsidRPr="00990590">
        <w:rPr>
          <w:rStyle w:val="apple-converted-space"/>
        </w:rPr>
        <w:t> </w:t>
      </w:r>
      <w:r w:rsidRPr="00990590">
        <w:t>Đối tượng và loại GTCG được lưu ký:</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a. Đối tượng tham gia lưu ký GTCG tại NHNN là các tổ chức tín dụng (TCTD) hoạt động theo Luật các TCTD được tham gia nghiệp vụ thị trường tiền tệ và các thành viên thị trường đấu thầu trái phiếu Chính phủ (TPCP) tại NHNN.</w:t>
      </w:r>
    </w:p>
    <w:p w:rsidR="00990590" w:rsidRPr="00990590" w:rsidRDefault="00990590" w:rsidP="00990590">
      <w:pPr>
        <w:pStyle w:val="NormalWeb"/>
        <w:shd w:val="clear" w:color="auto" w:fill="FFFFFF"/>
        <w:spacing w:before="0" w:beforeAutospacing="0" w:after="0" w:afterAutospacing="0"/>
        <w:jc w:val="both"/>
        <w:rPr>
          <w:color w:val="000000"/>
          <w:sz w:val="26"/>
          <w:szCs w:val="26"/>
        </w:rPr>
      </w:pPr>
      <w:r w:rsidRPr="00990590">
        <w:rPr>
          <w:color w:val="000000"/>
          <w:sz w:val="26"/>
          <w:szCs w:val="26"/>
        </w:rPr>
        <w:t>Các TCTD </w:t>
      </w:r>
      <w:r w:rsidRPr="00990590">
        <w:rPr>
          <w:rStyle w:val="apple-converted-space"/>
          <w:color w:val="000000"/>
          <w:sz w:val="26"/>
          <w:szCs w:val="26"/>
        </w:rPr>
        <w:t> </w:t>
      </w:r>
      <w:r w:rsidRPr="00990590">
        <w:rPr>
          <w:color w:val="000000"/>
          <w:sz w:val="26"/>
          <w:szCs w:val="26"/>
        </w:rPr>
        <w:t>trước khi tham gia nghiệp vụ TTTT với NHNN phải thực hiện lưu kýGTCG tại NHNN. Sau khi thực hiện lưu ký, các TCTD được tiến hành các hoạt động đăng ký, cầm cố, ký quỹ GTCG để tham gia các nghiệp vụ TTTT theo các quy định tại Quy chế, Quy trình từng nghiệp vụ cụ thể.</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NHNN tổ chức lưu ký trực tiếp tại Sở Giao dịch NHNN đối với GTCG do NHNN phát hành và đại lý phát hành, GTCG do các tổ chức khác phát hành dưới dạng chứng chỉ.</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NHNN (Sở Giao dịch) mở tài khoán lưu ký trước đây tại Trung tâm giao dịch chứng khoán và hiện nay tại Trung tâm lưu ký chứng khoán (sau đây gọi tắt là Trung tâm) để các TCTD có GTCG đang lưu ký </w:t>
      </w:r>
      <w:r w:rsidRPr="00990590">
        <w:rPr>
          <w:rStyle w:val="apple-converted-space"/>
          <w:color w:val="000000"/>
          <w:sz w:val="26"/>
          <w:szCs w:val="26"/>
        </w:rPr>
        <w:t> </w:t>
      </w:r>
      <w:r w:rsidRPr="00990590">
        <w:rPr>
          <w:color w:val="000000"/>
          <w:sz w:val="26"/>
          <w:szCs w:val="26"/>
        </w:rPr>
        <w:t>trước đây tại Trung tâm giao giao dịch chứng khoán và hiện nay tại Trung tâm lưu ký chứng khoán cũng như tại các tổ chức lưu ký khác chuyển sang lưu ký.</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Sở Giao dịch NHNN quản lý, theo dõi và hạch toán kế toán tập trung số liệu về lưu ký GTCG tại NHNN. Thống đốc NHNN chỉ định NHNN Chi nhánh TP Hồ Chí Minh hỗ trợ cho Sở Giao dịch NHNN trong hoạt động lưu ký GTCG là lưu giữ GTCG dưới dạng chứng chỉ của các TCTD có Hội sở chính trên địa bàn.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b. Loại GTCG được lưu ký tại NHNN: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Các GTCG bao gồm: tín phiếu NHNN, tín phiếu, trái phiếu Kho bạc, trái phiếu công trìng TW, trái phiếu đầu tư do Quỹ Hỗ trợ phát triển phát hành, trái phiếu ngoại tệ, trái phiếu do Uỷ ban nhân dân TP Hà Nội và TP Hồ Chí Minh phát hành, công trái và các loại </w:t>
      </w:r>
      <w:r w:rsidRPr="00990590">
        <w:rPr>
          <w:rStyle w:val="apple-converted-space"/>
          <w:color w:val="000000"/>
          <w:sz w:val="26"/>
          <w:szCs w:val="26"/>
        </w:rPr>
        <w:t> </w:t>
      </w:r>
      <w:r w:rsidRPr="00990590">
        <w:rPr>
          <w:color w:val="000000"/>
          <w:sz w:val="26"/>
          <w:szCs w:val="26"/>
        </w:rPr>
        <w:t>GTCG khác do Thống đốc NHNN quy định trong từng thời kỳ.</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 </w:t>
      </w:r>
    </w:p>
    <w:p w:rsidR="00990590" w:rsidRPr="00990590" w:rsidRDefault="00990590" w:rsidP="00990590">
      <w:pPr>
        <w:pStyle w:val="Heading1"/>
      </w:pPr>
      <w:r w:rsidRPr="00990590">
        <w:t>3. Lưu ký GTCG:</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3.1. Khi có nhu cầu lưu ký GTCG tại NHNN, TCTD gửi Sở Giao dịch NHNN “Đơn xin tham gia lưu ký GTCG”, làm thủ tục mở tài khoản lưu ký.</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3.2. Thực hiện lưu ký:</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3.2.1. Đối với GTCG do NHNN phát hành hoặc đại lý phát hành:</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 Trường hợp GTCG trúng thầu mua trên TTM và thị trường đấu thầu TPCP tại NHNN: Căn cứ vào kết quả trúng thầu mua GTCG đã được thanh toán, NHNN chuyển khối lượng GTCG trúng thầu vào tài khoản lưu ký của khách hàng lưu ký, khách hàng không cần gửi đề nghị tới NHNN.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Trường hợp TCTD mua bán, cầm cố GTCG để vay vốn của các thành viên với các thành viên hoặc đề nghị cầm cố, ký quỹ tại NHNN phải thực hiện theo các quy định hiện hành của NHNN tại từng nghiệp vụ cụ thể.</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lastRenderedPageBreak/>
        <w:t>Trường hợp GTCG dưới dạng chứng chỉ:TCTD có hội sở chính tại Hà Nội nộp tại SGD để được hạch toán vào tài khoản lưu ký; TCTD có hội sở chính tại TP Hồ Chí Minh nộp tại NHNN chi nhánh TP Hồ Chí Minh, chi nhánh lưu giữ, chuyển số liệu cho SGD hạch toán, quản lý và theo dõi trên tài khoản của KHLK. Khi KHLK muốn giải phóng GTCG gửi đề nghị cho SGD; SGD thông báo để chi nhánh giao trả GTCG lưu ký cho KHLK.</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3.2.2. Đối với GTCG đang lưu ký tại Trung tâm :</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Trên cơ sở đề nghị chuyển khoản GTCG của KHLK, Trung tâm tiến hành chuyển GTCG từ tài khoản lưu ký của KHLK sang tài khoản lưu ký của SGD NHNN mở tại Trung tâm đồng thời thông báo cho SGD NHNN về việc KHLK đã chuyển GTCG sang tài khoản của SGD;</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Trên cơ sở thông báo của Trung tâm, Sở Giao dịch thực hiện hạch toán GTCG lưu ký tại NHNN cho KHLK.</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 </w:t>
      </w:r>
    </w:p>
    <w:p w:rsidR="00990590" w:rsidRPr="00990590" w:rsidRDefault="00990590" w:rsidP="00990590">
      <w:pPr>
        <w:pStyle w:val="Heading1"/>
      </w:pPr>
      <w:r w:rsidRPr="00990590">
        <w:t>4. Sử dụng GTCG lưu ký tại NHNN để tham gia các nghiệp vụ TTTT:</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4.1. Đăng ký GTCG để tham gia nghiệp vụ chiết khấu, TTM:</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có nhu cầu chiết khấu GTCG, KHLK gửi NHNN danh mục GTCG đề nghị chiết khấu theo quy định của Quy chế chiết khấu GTCG tại NHNN;NHNN kiểm tra, xác nhận GTCG đủ điều kiện tham gia chiết khấu cho KHLK.</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có nhu cầu bán GTCG tại nghiệp vụ TTM, KHLK gửi đăng ký bán GTCG theo quy định của Quy chế nghiệp vụ TTM; NHNN kiểm tra, chấp nhận GTCG được tham gia giao dịch cho KHLK.</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4.2. Cầm cố GTCG để vay tái cấp vốn: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KHLK được NHNN (Vụ Tín dụng) chấp nhận cho vay có bảo đảm bằng cầm cố GTCG, căn cứ vào danh mục GTCG được chấp nhận cầm cố, NHNN (Sở Giao dịch) thực hiện chuyển GTCG từ tài khoản lưu ký của KHLK sang tài sản cầm cố để được vay tái cấp vốn.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KHLK hoàn thành nghĩa vụ trả nợ NHNN, căn cứ chứng từ trả nợ và giấy đề nghị hoàn trả GTCG cầm cố của KHLK, NHNN (SGD) thực hiện giải toả cầm cố, chuyển GTCG đang cầm cố sang tài khoản lưu ký của KHLK.</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4.3. Cầm cố GTCG để thấu chi và vay qua đêm:</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KHLK (đã đề nghị tham gia thấu chi và vay qua đêm) có nhu cầu cầm cố GTCG , gửi NHNN giấy đề nghị cầm cố GTCG; NHNN (Sở Giao dịch) thực hiện chuyển GTCG từ tài khoản lưu ký của KHLK sang tài sản cầm cố để được phân bổ mức thấu chi và vay qua đêm.</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có nhu cầu giải toả GTCG cầm cố, KHLK gửi đề nghị giải toả GTCG cầm cố (danh mục và lý do giải toả GTCG); NHNN thực hiện giải toả GTCG khi KHLK không có nợ vay qua đêm hoặc GTCG vượt mức quy định của NHNN tại quy chế thấu chi và cho vay qua đêm. NHNN giải phóng một phần hoặc toàn bộ GTCG cầm cố theo đề nghị của KHLK bằng cách chuyển GTCG được giải phóng từ tài sản cầm cố sang tài khoản lưu ký.</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4.4. Cầm cố GTCG để vay vốn giữa các khách hàng lưu ký với nhau:</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lastRenderedPageBreak/>
        <w:t>KHLK có thể sử dụng GTCG lưu ký trực tiếp tại NHNN để cầm cố vay vốn lẫn nhau.</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Căn cứ hồ sơ của Bên cầm cố (gồm: Đề nghị xác nhận và phong toả GTCG, Biên bản thoả thuận của Bên cầm cố và Bên nhận cầm cố), Sở Giao dịch tiến hành phong toả tài sản cầm cố.</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Trong thời gian phong toả GTCG, Bên cầm cố có thể đề nghị NHNN đổi GTCG đang phong toả (nếu GTCG đến hạn thanh toán) bằng GTCG khác hoặc kéo dài thời hạn phong toả GTCG nếu có chấp nhận của bên nhận cầm cố.</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Sở Giao dịch chấm dứt phong toả và chuyển GTCG sang tài khoản lưu ký cho KHLK (Bên cầm cố) khi nhận được Giấy đề nghị của Bên cầm cố kèm xác nhận của Bên nhận cầm cố về việc đã nhận đủ khoản cho vay mà Bên cầm cố đã hoàn trả.</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4.5. Sử dụng GTCG lưu ký để đề nghị NHNN chiết khấu:</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được NHNN chấp nhận chiết khấu, SGD chuyển GTCG từ tài khoản lưu ký sang tài khoản cầm cố để quản lý trong thời gian chiết khấu.</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KHLK hoàn thành nghĩa vụ trả nợ theo cam kết mua lại, SGD chuyển GTCG từ tài khoản cầm cố sang tài khoản lưu ký cho KHLK.</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4.6. Sử dụng GTCG để thực hiện nghiệp vụ TTM:</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4.6.1. Trường hợp NHNN mua hẳn GTCG:</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Vào ngày đấu thầu KHLK phải đăng ký bán GTCG. Căn cứ kết quả trúng thầu, SGD chuyển GTCG từ tài khoản lưu ký của KHLK sang tài khoản GTCG của NHNN. Khách hàng có trách nhiệm chuyển quyền sở hữu GTCG xho NHNN.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4.6.2. Trường hợp NHNN bán hẳn GTCG:</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Căn cư kết quả trúng thầu SGD chuyển GTCG của NHNN sang tài khoản lưu ký GTCG của KHLK.</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4.6.3. Trường hợp NHNN mua có kỳ hạn GTCG:</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Căn cứ kết quả trúng thầu, Hợp đồng bán và mua lại GTCG giữa KHLK với NHNN, SGD chuyển GTCG từ tài khoản GTCG lưu ký của KHLK sang tài khoản GTCG của NHNN.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KHLK thực hiện đúng cam kết trong hợp đồng, căn cứ chứng từ hợp lệ, SGD chuyển GTCG từ tài khoản GTCG của NHNN sang tài khoản GTCG lưu ký của KHLK.</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4.6.4. Trường hợp NHNN bán có kỳ hạn GTCG:</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Căn cứ kết quả trúng thầu của KHLK, hợp đồng bán và mua lại GTCG giữa NHNN với KHLK, SGD chuyển GTCG từ tài khoản GTCG lưu ký của KHLK sang tài khoản GTCG của NHNN.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4.7. Sử dụng GTCG lưu ký để mua, bán với các KHLK khác:</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KHLK có nhu cầu bán GTCG lưu ký trực tiếp tại NHNN, KHLK gửi Sở Giao dịch Giấy đề nghị chuyển khoản GTCG kèm giấy xác nhận chuyển quyền sở hữu GTCG và các giấy tờ có liên quan khác nếu cần.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Căn cư sđề nghị của KHLK bán, NHNN chuyển GTCG lưu ký của KHLK bán sang tài khoản lưu ký của KHLK mua.</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 </w:t>
      </w:r>
    </w:p>
    <w:p w:rsidR="00990590" w:rsidRPr="00990590" w:rsidRDefault="00990590" w:rsidP="00990590">
      <w:pPr>
        <w:pStyle w:val="Heading1"/>
      </w:pPr>
      <w:r w:rsidRPr="00990590">
        <w:t>5. Thanh toán gốc và lãi GTCG lưu ký khi đến hạn: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5.1. Thanh toán gốc và lãi GTCG lưu ký trực tiếp tại NHNN: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lastRenderedPageBreak/>
        <w:t>5.1.1. Đối với GTCG do NHNN phát hành hoặc đại lý phát hành:</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GTCG đến hạn thanh toán gốc, lãi, KHLK gửi giấy đề nghị thanh toán cho SGD, SGD làm thủ tục thanh toán, giảm GTCG đến hạn tương ứng trên tài khoản GTCG lưu ký của KHLK.</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5.1.2. Đối với các GTCG khác:</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GTCG loại chứng chỉ đến hạn thanh toán gốc, lãi, KHLK làm thủ tục rút GTCG mang đến tổ chức phát hành hoặc đại lý của tổ chức phát hành để thanh toán.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5.2. Thanh toán gốc và lãi GTCG lưu ký tại tài khoản của NHNN ở Trung tâm:</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Việc thanh toán lãi và gốc </w:t>
      </w:r>
      <w:r w:rsidRPr="00990590">
        <w:rPr>
          <w:rStyle w:val="apple-converted-space"/>
          <w:color w:val="000000"/>
          <w:sz w:val="26"/>
          <w:szCs w:val="26"/>
        </w:rPr>
        <w:t> </w:t>
      </w:r>
      <w:r w:rsidRPr="00990590">
        <w:rPr>
          <w:color w:val="000000"/>
          <w:sz w:val="26"/>
          <w:szCs w:val="26"/>
        </w:rPr>
        <w:t>GTCG của KHLK tại tài khoản của NHNN ở Trung tâm do Trung tâm thực hiện.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 </w:t>
      </w:r>
    </w:p>
    <w:p w:rsidR="00990590" w:rsidRPr="00990590" w:rsidRDefault="00990590" w:rsidP="00990590">
      <w:pPr>
        <w:pStyle w:val="Heading1"/>
      </w:pPr>
      <w:r w:rsidRPr="00990590">
        <w:t>6. Rút GTCG:</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6.1. GTCG lưu ký tại NHNN:</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có nhu cầu rút GTCG loại chứng chỉ lưu ký trực tiếp tại NHNN, KHLK gửi NHNN “Giấy xin rút GTCG” theo mẫu số 3/LK (đính kèm). Căn cứ đề nghị của KHLK, NHNN giảm GTCG trên tài khoản GTCG lưu ký của KHLK và làm thủ tục giao trả chứng chỉ GTCG cho KHLK.</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6.2. GTCG lưu ký tại tài khoản của NHNN ở Trung tâm :</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Khi có nhu cầu rút GTCG lưu ký tại tài khoản của NHNN ở Trung tâm, KHLK gửi NHNN giấy đề nghị chuyển khoản GTCG lưu ký tại tài khoản của NHNN ở Trung, sang tài khoản của KHLK ở Trung tâm.</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Trên cơ sở đề nghị của KHLK, NHNN yêu cầu Trung tâm chuyển khoản GTCG của KHLK từ tài khoản của NHNN sang tài khoản của KHLK ở Trung tâm. Sau đó, việc rút GTCG của KHLK sẽ thực hiện theo quy định của Trung tâm.</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rPr>
      </w:pPr>
      <w:r w:rsidRPr="00990590">
        <w:rPr>
          <w:color w:val="000000"/>
          <w:sz w:val="26"/>
          <w:szCs w:val="26"/>
        </w:rPr>
        <w:t> </w:t>
      </w:r>
    </w:p>
    <w:p w:rsidR="00990590" w:rsidRPr="00990590" w:rsidRDefault="00990590" w:rsidP="00990590">
      <w:pPr>
        <w:pStyle w:val="Heading1"/>
      </w:pPr>
      <w:r w:rsidRPr="00990590">
        <w:t>7. Chấm dứt lưu ký:</w:t>
      </w:r>
    </w:p>
    <w:p w:rsidR="00990590" w:rsidRPr="00990590" w:rsidRDefault="00990590" w:rsidP="00990590">
      <w:pPr>
        <w:pStyle w:val="NormalWeb"/>
        <w:shd w:val="clear" w:color="auto" w:fill="FFFFFF"/>
        <w:spacing w:before="0" w:beforeAutospacing="0" w:after="0" w:afterAutospacing="0"/>
        <w:ind w:firstLine="720"/>
        <w:jc w:val="both"/>
        <w:rPr>
          <w:color w:val="000000"/>
          <w:sz w:val="26"/>
          <w:szCs w:val="26"/>
          <w:shd w:val="clear" w:color="auto" w:fill="FFFFFF"/>
        </w:rPr>
      </w:pPr>
      <w:r w:rsidRPr="00990590">
        <w:rPr>
          <w:color w:val="000000"/>
          <w:sz w:val="26"/>
          <w:szCs w:val="26"/>
          <w:shd w:val="clear" w:color="auto" w:fill="FFFFFF"/>
        </w:rPr>
        <w:t>Khi không có nhu cầu lưu ký GTCGtại NHNN, KHLK phải làm thủ tục đóng các tài khoản GTCG theo quy định của NHNN.  </w:t>
      </w:r>
    </w:p>
    <w:p w:rsidR="00DE18E4" w:rsidRPr="00990590" w:rsidRDefault="00DE18E4">
      <w:pPr>
        <w:rPr>
          <w:rFonts w:ascii="Times New Roman" w:hAnsi="Times New Roman" w:cs="Times New Roman"/>
          <w:sz w:val="26"/>
          <w:szCs w:val="26"/>
        </w:rPr>
      </w:pPr>
    </w:p>
    <w:sectPr w:rsidR="00DE18E4" w:rsidRPr="00990590" w:rsidSect="00DE18E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CE8" w:rsidRDefault="004B2CE8" w:rsidP="00990590">
      <w:pPr>
        <w:spacing w:after="0" w:line="240" w:lineRule="auto"/>
      </w:pPr>
      <w:r>
        <w:separator/>
      </w:r>
    </w:p>
  </w:endnote>
  <w:endnote w:type="continuationSeparator" w:id="1">
    <w:p w:rsidR="004B2CE8" w:rsidRDefault="004B2CE8" w:rsidP="009905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90" w:rsidRDefault="009905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767"/>
      <w:docPartObj>
        <w:docPartGallery w:val="Page Numbers (Bottom of Page)"/>
        <w:docPartUnique/>
      </w:docPartObj>
    </w:sdtPr>
    <w:sdtContent>
      <w:p w:rsidR="00990590" w:rsidRDefault="00990590">
        <w:pPr>
          <w:pStyle w:val="Footer"/>
          <w:jc w:val="center"/>
        </w:pPr>
        <w:fldSimple w:instr=" PAGE   \* MERGEFORMAT ">
          <w:r>
            <w:rPr>
              <w:noProof/>
            </w:rPr>
            <w:t>4</w:t>
          </w:r>
        </w:fldSimple>
      </w:p>
    </w:sdtContent>
  </w:sdt>
  <w:p w:rsidR="00990590" w:rsidRDefault="0099059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90" w:rsidRDefault="009905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CE8" w:rsidRDefault="004B2CE8" w:rsidP="00990590">
      <w:pPr>
        <w:spacing w:after="0" w:line="240" w:lineRule="auto"/>
      </w:pPr>
      <w:r>
        <w:separator/>
      </w:r>
    </w:p>
  </w:footnote>
  <w:footnote w:type="continuationSeparator" w:id="1">
    <w:p w:rsidR="004B2CE8" w:rsidRDefault="004B2CE8" w:rsidP="009905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90" w:rsidRDefault="0099059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90" w:rsidRDefault="0099059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90" w:rsidRDefault="0099059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990590"/>
    <w:rsid w:val="004B2CE8"/>
    <w:rsid w:val="00990590"/>
    <w:rsid w:val="00DE18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8E4"/>
  </w:style>
  <w:style w:type="paragraph" w:styleId="Heading1">
    <w:name w:val="heading 1"/>
    <w:basedOn w:val="NormalWeb"/>
    <w:next w:val="Normal"/>
    <w:link w:val="Heading1Char"/>
    <w:uiPriority w:val="9"/>
    <w:qFormat/>
    <w:rsid w:val="00990590"/>
    <w:pPr>
      <w:shd w:val="clear" w:color="auto" w:fill="FFFFFF"/>
      <w:spacing w:before="0" w:beforeAutospacing="0" w:after="0" w:afterAutospacing="0"/>
      <w:ind w:left="1080" w:hanging="360"/>
      <w:jc w:val="both"/>
      <w:outlineLvl w:val="0"/>
    </w:pPr>
    <w:rPr>
      <w:b/>
      <w:bCs/>
      <w:i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05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90590"/>
  </w:style>
  <w:style w:type="character" w:customStyle="1" w:styleId="Heading1Char">
    <w:name w:val="Heading 1 Char"/>
    <w:basedOn w:val="DefaultParagraphFont"/>
    <w:link w:val="Heading1"/>
    <w:uiPriority w:val="9"/>
    <w:rsid w:val="00990590"/>
    <w:rPr>
      <w:rFonts w:ascii="Times New Roman" w:eastAsia="Times New Roman" w:hAnsi="Times New Roman" w:cs="Times New Roman"/>
      <w:b/>
      <w:bCs/>
      <w:iCs/>
      <w:color w:val="000000"/>
      <w:sz w:val="26"/>
      <w:szCs w:val="26"/>
      <w:shd w:val="clear" w:color="auto" w:fill="FFFFFF"/>
    </w:rPr>
  </w:style>
  <w:style w:type="paragraph" w:styleId="Header">
    <w:name w:val="header"/>
    <w:basedOn w:val="Normal"/>
    <w:link w:val="HeaderChar"/>
    <w:uiPriority w:val="99"/>
    <w:semiHidden/>
    <w:unhideWhenUsed/>
    <w:rsid w:val="009905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0590"/>
  </w:style>
  <w:style w:type="paragraph" w:styleId="Footer">
    <w:name w:val="footer"/>
    <w:basedOn w:val="Normal"/>
    <w:link w:val="FooterChar"/>
    <w:uiPriority w:val="99"/>
    <w:unhideWhenUsed/>
    <w:rsid w:val="009905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0590"/>
  </w:style>
</w:styles>
</file>

<file path=word/webSettings.xml><?xml version="1.0" encoding="utf-8"?>
<w:webSettings xmlns:r="http://schemas.openxmlformats.org/officeDocument/2006/relationships" xmlns:w="http://schemas.openxmlformats.org/wordprocessingml/2006/main">
  <w:divs>
    <w:div w:id="122822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1353</Words>
  <Characters>7718</Characters>
  <Application>Microsoft Office Word</Application>
  <DocSecurity>0</DocSecurity>
  <Lines>64</Lines>
  <Paragraphs>18</Paragraphs>
  <ScaleCrop>false</ScaleCrop>
  <Company/>
  <LinksUpToDate>false</LinksUpToDate>
  <CharactersWithSpaces>9053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Forever</cp:lastModifiedBy>
  <cp:revision>1</cp:revision>
  <dcterms:created xsi:type="dcterms:W3CDTF">2011-12-02T11:21:00Z</dcterms:created>
  <dcterms:modified xsi:type="dcterms:W3CDTF">2011-12-02T11:22:00Z</dcterms:modified>
</cp:coreProperties>
</file>